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081BC">
      <w:pPr>
        <w:pStyle w:val="16"/>
        <w:rPr>
          <w:sz w:val="28"/>
          <w:szCs w:val="28"/>
        </w:rPr>
      </w:pPr>
      <w:r>
        <w:rPr>
          <w:rFonts w:hint="eastAsia"/>
          <w:sz w:val="28"/>
          <w:szCs w:val="28"/>
        </w:rPr>
        <w:t>2025年专委会（分会）</w:t>
      </w:r>
      <w:r>
        <w:rPr>
          <w:sz w:val="28"/>
          <w:szCs w:val="28"/>
        </w:rPr>
        <w:t>学术活动预算编制编报说明</w:t>
      </w:r>
      <w:r>
        <w:rPr>
          <w:rFonts w:hint="eastAsia"/>
          <w:sz w:val="28"/>
          <w:szCs w:val="28"/>
        </w:rPr>
        <w:t>及标准</w:t>
      </w:r>
    </w:p>
    <w:p w14:paraId="2AD4DD31">
      <w:pPr>
        <w:pStyle w:val="2"/>
        <w:numPr>
          <w:ilvl w:val="0"/>
          <w:numId w:val="1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基本信息</w:t>
      </w:r>
    </w:p>
    <w:p w14:paraId="155E5182">
      <w:pPr>
        <w:pStyle w:val="12"/>
        <w:numPr>
          <w:ilvl w:val="0"/>
          <w:numId w:val="2"/>
        </w:numPr>
        <w:snapToGrid w:val="0"/>
        <w:spacing w:line="240" w:lineRule="auto"/>
      </w:pPr>
      <w:r>
        <w:t xml:space="preserve">专业委员会（分会）：[选择专业委员会名称]  </w:t>
      </w:r>
    </w:p>
    <w:p w14:paraId="5D0AC81F">
      <w:pPr>
        <w:pStyle w:val="12"/>
        <w:numPr>
          <w:ilvl w:val="0"/>
          <w:numId w:val="2"/>
        </w:numPr>
        <w:snapToGrid w:val="0"/>
        <w:spacing w:line="240" w:lineRule="auto"/>
      </w:pPr>
      <w:r>
        <w:t xml:space="preserve">学术活动名称：[选择学术活动名称]  </w:t>
      </w:r>
    </w:p>
    <w:p w14:paraId="5E2FD91A">
      <w:pPr>
        <w:pStyle w:val="12"/>
        <w:numPr>
          <w:ilvl w:val="0"/>
          <w:numId w:val="2"/>
        </w:numPr>
        <w:snapToGrid w:val="0"/>
        <w:spacing w:line="240" w:lineRule="auto"/>
      </w:pPr>
      <w:r>
        <w:t>会议日期：年-月-日—年-月-日</w:t>
      </w:r>
    </w:p>
    <w:p w14:paraId="18F0CF77">
      <w:pPr>
        <w:pStyle w:val="12"/>
        <w:snapToGrid w:val="0"/>
        <w:spacing w:line="240" w:lineRule="auto"/>
        <w:ind w:firstLine="480"/>
      </w:pPr>
      <w:r>
        <w:t xml:space="preserve">[以实际学术会议日程为准，不含报到和离会]  </w:t>
      </w:r>
    </w:p>
    <w:p w14:paraId="6C113661">
      <w:pPr>
        <w:pStyle w:val="12"/>
        <w:numPr>
          <w:ilvl w:val="0"/>
          <w:numId w:val="2"/>
        </w:numPr>
        <w:snapToGrid w:val="0"/>
        <w:spacing w:line="240" w:lineRule="auto"/>
      </w:pPr>
      <w:r>
        <w:t>会议天数：[X] 天 [以实际学术会议日程为准，不含报到和离会]</w:t>
      </w:r>
    </w:p>
    <w:p w14:paraId="1768E720">
      <w:pPr>
        <w:pStyle w:val="12"/>
        <w:numPr>
          <w:ilvl w:val="0"/>
          <w:numId w:val="2"/>
        </w:numPr>
        <w:snapToGrid w:val="0"/>
        <w:spacing w:line="240" w:lineRule="auto"/>
      </w:pPr>
      <w:r>
        <w:t>会期天数：[X</w:t>
      </w:r>
      <w:r>
        <w:rPr>
          <w:rFonts w:hint="eastAsia"/>
        </w:rPr>
        <w:t>+1</w:t>
      </w:r>
      <w:r>
        <w:t xml:space="preserve">] 天 [会议天数 + 1 天（报到和离会合计）] </w:t>
      </w:r>
    </w:p>
    <w:p w14:paraId="6BB4E00E">
      <w:pPr>
        <w:pStyle w:val="12"/>
        <w:numPr>
          <w:ilvl w:val="0"/>
          <w:numId w:val="2"/>
        </w:numPr>
        <w:snapToGrid w:val="0"/>
        <w:spacing w:line="240" w:lineRule="auto"/>
      </w:pPr>
      <w:r>
        <w:t xml:space="preserve">地点：[具体会议地点]  </w:t>
      </w:r>
    </w:p>
    <w:p w14:paraId="7342DA24">
      <w:pPr>
        <w:pStyle w:val="12"/>
        <w:numPr>
          <w:ilvl w:val="0"/>
          <w:numId w:val="2"/>
        </w:numPr>
        <w:snapToGrid w:val="0"/>
        <w:spacing w:line="240" w:lineRule="auto"/>
      </w:pPr>
      <w:r>
        <w:t xml:space="preserve">参会人数：[预计参会人数]  </w:t>
      </w:r>
    </w:p>
    <w:p w14:paraId="3A067B1D">
      <w:pPr>
        <w:pStyle w:val="12"/>
        <w:numPr>
          <w:ilvl w:val="0"/>
          <w:numId w:val="2"/>
        </w:numPr>
        <w:snapToGrid w:val="0"/>
        <w:spacing w:line="240" w:lineRule="auto"/>
      </w:pPr>
      <w:r>
        <w:t>会议概况：简要说明会议主题、主要内容、会场数量、讲者、主持人数等</w:t>
      </w:r>
    </w:p>
    <w:p w14:paraId="39C07032">
      <w:pPr>
        <w:pStyle w:val="2"/>
        <w:numPr>
          <w:ilvl w:val="0"/>
          <w:numId w:val="1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注册费标准</w:t>
      </w:r>
    </w:p>
    <w:p w14:paraId="24DDB19A">
      <w:pPr>
        <w:pStyle w:val="12"/>
        <w:snapToGrid w:val="0"/>
        <w:spacing w:line="240" w:lineRule="auto"/>
        <w:ind w:firstLine="480"/>
      </w:pPr>
      <w:r>
        <w:t>按</w:t>
      </w:r>
      <w:r>
        <w:rPr>
          <w:rFonts w:hint="eastAsia"/>
        </w:rPr>
        <w:t>人员类别</w:t>
      </w:r>
      <w:r>
        <w:t>分别填写</w:t>
      </w:r>
      <w:r>
        <w:rPr>
          <w:rFonts w:hint="eastAsia"/>
        </w:rPr>
        <w:t>，标准注册费和普通会员必填，其他类别选填；提前注册与现场注册可填写相同价格。</w:t>
      </w:r>
    </w:p>
    <w:p w14:paraId="6B8D6CC5">
      <w:pPr>
        <w:pStyle w:val="12"/>
        <w:snapToGrid w:val="0"/>
        <w:spacing w:line="240" w:lineRule="auto"/>
        <w:ind w:firstLine="480"/>
      </w:pPr>
      <w:r>
        <w:rPr>
          <w:rFonts w:hint="eastAsia"/>
        </w:rPr>
        <w:t>1.</w:t>
      </w:r>
      <w:r>
        <w:t>标准注册费（非会员）：[X] 元/人</w:t>
      </w:r>
    </w:p>
    <w:p w14:paraId="3E3C527E">
      <w:pPr>
        <w:pStyle w:val="12"/>
        <w:snapToGrid w:val="0"/>
        <w:spacing w:line="240" w:lineRule="auto"/>
        <w:ind w:firstLine="480"/>
      </w:pPr>
      <w:r>
        <w:rPr>
          <w:rFonts w:hint="eastAsia"/>
        </w:rPr>
        <w:t>2.</w:t>
      </w:r>
      <w:r>
        <w:t xml:space="preserve">普通会员：[X] 元/人  </w:t>
      </w:r>
    </w:p>
    <w:p w14:paraId="5BC187E8">
      <w:pPr>
        <w:pStyle w:val="12"/>
        <w:snapToGrid w:val="0"/>
        <w:spacing w:line="240" w:lineRule="auto"/>
        <w:ind w:firstLine="480"/>
      </w:pPr>
      <w:r>
        <w:rPr>
          <w:rFonts w:hint="eastAsia"/>
        </w:rPr>
        <w:t>3.</w:t>
      </w:r>
      <w:r>
        <w:t xml:space="preserve">专科会员：[X] 元/人  </w:t>
      </w:r>
    </w:p>
    <w:p w14:paraId="2F33DEE6">
      <w:pPr>
        <w:pStyle w:val="12"/>
        <w:snapToGrid w:val="0"/>
        <w:spacing w:line="240" w:lineRule="auto"/>
        <w:ind w:firstLine="480"/>
      </w:pPr>
      <w:r>
        <w:rPr>
          <w:rFonts w:hint="eastAsia"/>
        </w:rPr>
        <w:t>4.</w:t>
      </w:r>
      <w:r>
        <w:t xml:space="preserve">学生会员：[X] 元/人  </w:t>
      </w:r>
    </w:p>
    <w:p w14:paraId="6C5DA8FA">
      <w:pPr>
        <w:pStyle w:val="12"/>
        <w:snapToGrid w:val="0"/>
        <w:spacing w:line="240" w:lineRule="auto"/>
        <w:ind w:firstLine="480"/>
      </w:pPr>
      <w:r>
        <w:rPr>
          <w:rFonts w:hint="eastAsia"/>
        </w:rPr>
        <w:t>5.</w:t>
      </w:r>
      <w:r>
        <w:t xml:space="preserve">技师/护士：[X] 元/人  </w:t>
      </w:r>
    </w:p>
    <w:p w14:paraId="5BC506B6">
      <w:pPr>
        <w:pStyle w:val="2"/>
        <w:numPr>
          <w:ilvl w:val="0"/>
          <w:numId w:val="1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预算收入</w:t>
      </w:r>
    </w:p>
    <w:p w14:paraId="50AADA4A">
      <w:pPr>
        <w:pStyle w:val="12"/>
        <w:snapToGrid w:val="0"/>
        <w:spacing w:line="240" w:lineRule="auto"/>
        <w:ind w:firstLine="480"/>
      </w:pPr>
      <w:r>
        <w:t>主要来源于会议注册</w:t>
      </w:r>
      <w:r>
        <w:rPr>
          <w:rFonts w:hint="eastAsia"/>
        </w:rPr>
        <w:t>收入</w:t>
      </w:r>
      <w:r>
        <w:t>、</w:t>
      </w:r>
      <w:r>
        <w:rPr>
          <w:rFonts w:hint="eastAsia"/>
        </w:rPr>
        <w:t>参会</w:t>
      </w:r>
      <w:r>
        <w:t>参展收入。注册费收入参照参会人员类别、对应注册费标准及参会人数预估</w:t>
      </w:r>
      <w:r>
        <w:rPr>
          <w:rFonts w:hint="eastAsia"/>
        </w:rPr>
        <w:t>，参会参展收入可预估总收入。</w:t>
      </w:r>
    </w:p>
    <w:p w14:paraId="7F6591A1">
      <w:pPr>
        <w:pStyle w:val="2"/>
        <w:numPr>
          <w:ilvl w:val="0"/>
          <w:numId w:val="1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预算支出</w:t>
      </w:r>
    </w:p>
    <w:p w14:paraId="33B121C9">
      <w:pPr>
        <w:pStyle w:val="12"/>
        <w:snapToGrid w:val="0"/>
        <w:spacing w:line="240" w:lineRule="auto"/>
        <w:ind w:firstLine="480"/>
      </w:pPr>
      <w:r>
        <w:t>严格按照中央八项规定精神，坚持厉行节约、规范简朴、务实高效的原则，确保各项费用支出合理、必要且透明</w:t>
      </w:r>
      <w:r>
        <w:rPr>
          <w:rFonts w:hint="eastAsia"/>
        </w:rPr>
        <w:t>，与学术活动无关支出不予编制</w:t>
      </w:r>
      <w:r>
        <w:t>。预算支出分为以下几类：会议费、劳务费、交通费、会务服务费、资料邮寄及运输费、税费等。</w:t>
      </w:r>
    </w:p>
    <w:p w14:paraId="12F078D1">
      <w:pPr>
        <w:pStyle w:val="3"/>
        <w:numPr>
          <w:ilvl w:val="0"/>
          <w:numId w:val="3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会务服务</w:t>
      </w:r>
    </w:p>
    <w:p w14:paraId="1D28AC2E">
      <w:pPr>
        <w:pStyle w:val="12"/>
        <w:snapToGrid w:val="0"/>
        <w:spacing w:line="240" w:lineRule="auto"/>
        <w:ind w:firstLine="480"/>
      </w:pPr>
      <w:r>
        <w:t>会务服务涵盖场地租赁、搭建、设备租赁、食宿、网站、视频制作及安保等按照实际发生及标准费用逐项列明，确保每项支出有据可依。</w:t>
      </w:r>
    </w:p>
    <w:p w14:paraId="5576203C">
      <w:pPr>
        <w:pStyle w:val="12"/>
        <w:snapToGrid w:val="0"/>
        <w:spacing w:line="240" w:lineRule="auto"/>
        <w:ind w:firstLine="480"/>
        <w:rPr>
          <w:color w:val="FF0000"/>
        </w:rPr>
      </w:pPr>
      <w:r>
        <w:t>会</w:t>
      </w:r>
      <w:r>
        <w:rPr>
          <w:rFonts w:hint="eastAsia"/>
        </w:rPr>
        <w:t>务</w:t>
      </w:r>
      <w:r>
        <w:t>服务费：</w:t>
      </w:r>
      <w:r>
        <w:rPr>
          <w:rFonts w:hint="eastAsia"/>
        </w:rPr>
        <w:t>如有会务公司，会务公司服务费</w:t>
      </w:r>
      <w:r>
        <w:t>不超过服务总额的8%</w:t>
      </w:r>
    </w:p>
    <w:p w14:paraId="0EBD5E3D">
      <w:pPr>
        <w:pStyle w:val="3"/>
        <w:numPr>
          <w:ilvl w:val="0"/>
          <w:numId w:val="3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会议费</w:t>
      </w:r>
    </w:p>
    <w:p w14:paraId="26D19A7C">
      <w:pPr>
        <w:snapToGrid w:val="0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本类内容可以直接支付到终端服务商，可以不在会务公司服务内容之列。</w:t>
      </w:r>
    </w:p>
    <w:p w14:paraId="3B98E99F">
      <w:pPr>
        <w:pStyle w:val="12"/>
        <w:numPr>
          <w:ilvl w:val="0"/>
          <w:numId w:val="4"/>
        </w:numPr>
        <w:snapToGrid w:val="0"/>
        <w:spacing w:line="240" w:lineRule="auto"/>
      </w:pPr>
      <w:r>
        <w:t>住宿费：参</w:t>
      </w:r>
      <w:r>
        <w:rPr>
          <w:rFonts w:hint="eastAsia"/>
        </w:rPr>
        <w:t>照</w:t>
      </w:r>
      <w:r>
        <w:t>中央和国家机关工作人员差旅住宿费标准</w:t>
      </w:r>
      <w:r>
        <w:rPr>
          <w:rFonts w:hint="eastAsia"/>
        </w:rPr>
        <w:t>，院士参照部级标准，高级职称可参照司局级人员标准</w:t>
      </w:r>
      <w:r>
        <w:t>。</w:t>
      </w:r>
    </w:p>
    <w:p w14:paraId="54282327">
      <w:pPr>
        <w:pStyle w:val="12"/>
        <w:snapToGrid w:val="0"/>
        <w:spacing w:line="240" w:lineRule="auto"/>
        <w:ind w:firstLine="480"/>
      </w:pPr>
      <w:r>
        <w:rPr>
          <w:rFonts w:hint="eastAsia"/>
        </w:rPr>
        <w:t>住宿费</w:t>
      </w:r>
      <w:r>
        <w:t>只承担</w:t>
      </w:r>
      <w:r>
        <w:rPr>
          <w:rFonts w:hint="eastAsia"/>
        </w:rPr>
        <w:t>专委会</w:t>
      </w:r>
      <w:r>
        <w:t>特邀嘉宾费用，不含本届专委会现任委员。</w:t>
      </w:r>
    </w:p>
    <w:p w14:paraId="6ED5CC32">
      <w:pPr>
        <w:pStyle w:val="12"/>
        <w:numPr>
          <w:ilvl w:val="0"/>
          <w:numId w:val="4"/>
        </w:numPr>
        <w:snapToGrid w:val="0"/>
        <w:spacing w:line="240" w:lineRule="auto"/>
      </w:pPr>
      <w:r>
        <w:t>餐费：</w:t>
      </w:r>
      <w:r>
        <w:rPr>
          <w:rFonts w:hint="eastAsia"/>
        </w:rPr>
        <w:t>预算</w:t>
      </w:r>
      <w:r>
        <w:t>最高单价≤180元/人天。</w:t>
      </w:r>
    </w:p>
    <w:p w14:paraId="153F49EE">
      <w:pPr>
        <w:pStyle w:val="12"/>
        <w:numPr>
          <w:ilvl w:val="0"/>
          <w:numId w:val="4"/>
        </w:numPr>
        <w:snapToGrid w:val="0"/>
        <w:spacing w:line="240" w:lineRule="auto"/>
      </w:pPr>
      <w:r>
        <w:t>会议场租：按整体费用计算</w:t>
      </w:r>
    </w:p>
    <w:p w14:paraId="4BC866E2">
      <w:pPr>
        <w:pStyle w:val="12"/>
        <w:numPr>
          <w:ilvl w:val="0"/>
          <w:numId w:val="4"/>
        </w:numPr>
        <w:snapToGrid w:val="0"/>
        <w:spacing w:line="240" w:lineRule="auto"/>
      </w:pPr>
      <w:r>
        <w:t>其他：以上未涵盖的内容填报此列，自行标注。</w:t>
      </w:r>
    </w:p>
    <w:p w14:paraId="78FB7308">
      <w:pPr>
        <w:pStyle w:val="3"/>
        <w:numPr>
          <w:ilvl w:val="0"/>
          <w:numId w:val="3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交通费</w:t>
      </w:r>
    </w:p>
    <w:p w14:paraId="4E20D91F">
      <w:pPr>
        <w:pStyle w:val="12"/>
        <w:numPr>
          <w:ilvl w:val="0"/>
          <w:numId w:val="5"/>
        </w:numPr>
        <w:snapToGrid w:val="0"/>
        <w:spacing w:line="240" w:lineRule="auto"/>
      </w:pPr>
      <w:r>
        <w:t>城际交通费：</w:t>
      </w:r>
      <w:r>
        <w:rPr>
          <w:rFonts w:hint="eastAsia"/>
        </w:rPr>
        <w:t>预算</w:t>
      </w:r>
      <w:r>
        <w:t>最高单价≤4000（机票或高铁票）</w:t>
      </w:r>
    </w:p>
    <w:p w14:paraId="6EE3968E">
      <w:pPr>
        <w:pStyle w:val="12"/>
        <w:snapToGrid w:val="0"/>
        <w:spacing w:line="240" w:lineRule="auto"/>
        <w:ind w:firstLine="480"/>
      </w:pPr>
      <w:r>
        <w:t>只承担特邀嘉宾</w:t>
      </w:r>
      <w:r>
        <w:rPr>
          <w:rFonts w:hint="eastAsia"/>
        </w:rPr>
        <w:t>交通</w:t>
      </w:r>
      <w:r>
        <w:t>费用，不含本专委会现任委员。</w:t>
      </w:r>
    </w:p>
    <w:p w14:paraId="72833CB8">
      <w:pPr>
        <w:pStyle w:val="12"/>
        <w:numPr>
          <w:ilvl w:val="0"/>
          <w:numId w:val="5"/>
        </w:numPr>
        <w:snapToGrid w:val="0"/>
        <w:spacing w:line="240" w:lineRule="auto"/>
      </w:pPr>
      <w:r>
        <w:t>市内交通费：包括接送站车辆租金费用。</w:t>
      </w:r>
    </w:p>
    <w:p w14:paraId="12ED6949">
      <w:pPr>
        <w:pStyle w:val="3"/>
        <w:numPr>
          <w:ilvl w:val="0"/>
          <w:numId w:val="3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劳务费（含税）</w:t>
      </w:r>
    </w:p>
    <w:p w14:paraId="27380182">
      <w:pPr>
        <w:pStyle w:val="12"/>
        <w:snapToGrid w:val="0"/>
        <w:spacing w:line="240" w:lineRule="auto"/>
        <w:ind w:firstLine="960" w:firstLineChars="400"/>
      </w:pPr>
      <w:r>
        <w:rPr>
          <w:rFonts w:hint="eastAsia"/>
        </w:rPr>
        <w:t>按照税前标准（含税）编制预算，执行时按课时</w:t>
      </w:r>
      <w:r>
        <w:t>实际时长和专家职称确定</w:t>
      </w:r>
      <w:r>
        <w:rPr>
          <w:rFonts w:hint="eastAsia"/>
        </w:rPr>
        <w:t>。</w:t>
      </w:r>
    </w:p>
    <w:p w14:paraId="6689AA5D">
      <w:pPr>
        <w:pStyle w:val="12"/>
        <w:numPr>
          <w:ilvl w:val="0"/>
          <w:numId w:val="6"/>
        </w:numPr>
        <w:snapToGrid w:val="0"/>
        <w:spacing w:line="240" w:lineRule="auto"/>
        <w:ind w:firstLine="480"/>
      </w:pPr>
      <w:r>
        <w:t>专家讲课费：</w:t>
      </w:r>
    </w:p>
    <w:p w14:paraId="1ABAB19A">
      <w:pPr>
        <w:pStyle w:val="12"/>
        <w:snapToGrid w:val="0"/>
        <w:spacing w:line="240" w:lineRule="auto"/>
        <w:ind w:firstLine="1680" w:firstLineChars="700"/>
      </w:pPr>
      <w:r>
        <w:t>院士：≤5952.38元/人次（税后标准≤5000元/人次）。</w:t>
      </w:r>
    </w:p>
    <w:p w14:paraId="2205919E">
      <w:pPr>
        <w:pStyle w:val="12"/>
        <w:snapToGrid w:val="0"/>
        <w:spacing w:line="240" w:lineRule="auto"/>
        <w:ind w:firstLine="1680" w:firstLineChars="700"/>
      </w:pPr>
      <w:r>
        <w:t>高级专业技术职称人员：≤3550元/人次（税后标准≤3000元/人次）。</w:t>
      </w:r>
    </w:p>
    <w:p w14:paraId="7DADA6DB">
      <w:pPr>
        <w:pStyle w:val="12"/>
        <w:snapToGrid w:val="0"/>
        <w:spacing w:line="240" w:lineRule="auto"/>
        <w:ind w:firstLine="4320" w:firstLineChars="1800"/>
      </w:pPr>
      <w:r>
        <w:t>≤2300元/人</w:t>
      </w:r>
      <w:r>
        <w:rPr>
          <w:rFonts w:hint="eastAsia"/>
        </w:rPr>
        <w:t>次</w:t>
      </w:r>
      <w:r>
        <w:t>（税后标准≤</w:t>
      </w:r>
      <w:r>
        <w:rPr>
          <w:rFonts w:hint="eastAsia"/>
        </w:rPr>
        <w:t>2000</w:t>
      </w:r>
      <w:r>
        <w:t>元/人次）</w:t>
      </w:r>
      <w:r>
        <w:rPr>
          <w:rFonts w:hint="eastAsia"/>
        </w:rPr>
        <w:t>。</w:t>
      </w:r>
    </w:p>
    <w:p w14:paraId="3083BC15">
      <w:pPr>
        <w:pStyle w:val="12"/>
        <w:snapToGrid w:val="0"/>
        <w:spacing w:line="240" w:lineRule="auto"/>
        <w:ind w:firstLine="4320" w:firstLineChars="1800"/>
      </w:pPr>
      <w:r>
        <w:t>≤</w:t>
      </w:r>
      <w:r>
        <w:rPr>
          <w:rFonts w:hint="eastAsia"/>
        </w:rPr>
        <w:t>1050</w:t>
      </w:r>
      <w:r>
        <w:t>元/人</w:t>
      </w:r>
      <w:r>
        <w:rPr>
          <w:rFonts w:hint="eastAsia"/>
        </w:rPr>
        <w:t>次</w:t>
      </w:r>
      <w:r>
        <w:t>（税后标准≤</w:t>
      </w:r>
      <w:r>
        <w:rPr>
          <w:rFonts w:hint="eastAsia"/>
        </w:rPr>
        <w:t>1000</w:t>
      </w:r>
      <w:r>
        <w:t>元/人次）</w:t>
      </w:r>
      <w:r>
        <w:rPr>
          <w:rFonts w:hint="eastAsia"/>
        </w:rPr>
        <w:t>。</w:t>
      </w:r>
    </w:p>
    <w:p w14:paraId="4E2A858D">
      <w:pPr>
        <w:pStyle w:val="12"/>
        <w:snapToGrid w:val="0"/>
        <w:spacing w:line="240" w:lineRule="auto"/>
        <w:ind w:firstLine="1680" w:firstLineChars="700"/>
      </w:pPr>
      <w:r>
        <w:t>其他讲者：≤1050元/人次（税后标准≤1000元/人次）。</w:t>
      </w:r>
    </w:p>
    <w:p w14:paraId="3011CB4A">
      <w:pPr>
        <w:pStyle w:val="12"/>
        <w:numPr>
          <w:ilvl w:val="0"/>
          <w:numId w:val="6"/>
        </w:numPr>
        <w:snapToGrid w:val="0"/>
        <w:spacing w:line="240" w:lineRule="auto"/>
        <w:ind w:firstLine="480"/>
      </w:pPr>
      <w:r>
        <w:t>主持人劳务费：</w:t>
      </w:r>
    </w:p>
    <w:p w14:paraId="66682E44">
      <w:pPr>
        <w:pStyle w:val="12"/>
        <w:snapToGrid w:val="0"/>
        <w:spacing w:line="240" w:lineRule="auto"/>
        <w:ind w:firstLine="1680" w:firstLineChars="700"/>
      </w:pPr>
      <w:r>
        <w:t>常规≤1050元/人·半天/场（税后标准≤1000元/人）。</w:t>
      </w:r>
    </w:p>
    <w:p w14:paraId="58365AB5">
      <w:pPr>
        <w:pStyle w:val="12"/>
        <w:snapToGrid w:val="0"/>
        <w:spacing w:line="240" w:lineRule="auto"/>
        <w:ind w:firstLine="1680" w:firstLineChars="700"/>
      </w:pPr>
      <w:r>
        <w:t>谈话类≤2300元/人·半天/场（税后标准≤2000元/人）。</w:t>
      </w:r>
    </w:p>
    <w:p w14:paraId="256377E5">
      <w:pPr>
        <w:pStyle w:val="12"/>
        <w:numPr>
          <w:ilvl w:val="0"/>
          <w:numId w:val="6"/>
        </w:numPr>
        <w:snapToGrid w:val="0"/>
        <w:spacing w:line="240" w:lineRule="auto"/>
        <w:ind w:firstLine="480"/>
      </w:pPr>
      <w:r>
        <w:t>翻译人员劳务费</w:t>
      </w:r>
    </w:p>
    <w:p w14:paraId="347FF495">
      <w:pPr>
        <w:pStyle w:val="12"/>
        <w:numPr>
          <w:ilvl w:val="0"/>
          <w:numId w:val="6"/>
        </w:numPr>
        <w:snapToGrid w:val="0"/>
        <w:spacing w:line="240" w:lineRule="auto"/>
        <w:ind w:firstLine="480"/>
      </w:pPr>
      <w:r>
        <w:t>工作人员劳务费：不超过500元/人天，根据会期内实际工作天数和人数计算。</w:t>
      </w:r>
    </w:p>
    <w:p w14:paraId="146BE5B0">
      <w:pPr>
        <w:pStyle w:val="12"/>
        <w:numPr>
          <w:ilvl w:val="0"/>
          <w:numId w:val="6"/>
        </w:numPr>
        <w:snapToGrid w:val="0"/>
        <w:spacing w:line="240" w:lineRule="auto"/>
        <w:ind w:firstLine="480"/>
      </w:pPr>
      <w:r>
        <w:t>志愿者：不超过200元/人天，根据会期内实际工作天数和人数计算。</w:t>
      </w:r>
    </w:p>
    <w:p w14:paraId="64542F70">
      <w:pPr>
        <w:pStyle w:val="3"/>
        <w:numPr>
          <w:ilvl w:val="0"/>
          <w:numId w:val="3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税费等（预留税前收入10%）</w:t>
      </w:r>
    </w:p>
    <w:p w14:paraId="5E3A12B8">
      <w:pPr>
        <w:pStyle w:val="12"/>
        <w:snapToGrid w:val="0"/>
        <w:spacing w:line="240" w:lineRule="auto"/>
        <w:ind w:firstLine="960" w:firstLineChars="400"/>
      </w:pPr>
      <w:r>
        <w:t>包括增值税、税金及附加、印花税、银行手续费等，根据预算收入10%计算。</w:t>
      </w:r>
    </w:p>
    <w:p w14:paraId="443AB648">
      <w:pPr>
        <w:pStyle w:val="2"/>
        <w:numPr>
          <w:ilvl w:val="0"/>
          <w:numId w:val="1"/>
        </w:numPr>
        <w:snapToGrid w:val="0"/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预算结余</w:t>
      </w:r>
    </w:p>
    <w:p w14:paraId="0DF0D3D6">
      <w:pPr>
        <w:pStyle w:val="12"/>
        <w:numPr>
          <w:ilvl w:val="0"/>
          <w:numId w:val="7"/>
        </w:numPr>
        <w:snapToGrid w:val="0"/>
        <w:spacing w:line="240" w:lineRule="auto"/>
      </w:pPr>
      <w:r>
        <w:t>预算结余：[预算收入-预算支出]</w:t>
      </w:r>
      <w:r>
        <w:rPr>
          <w:rFonts w:hint="eastAsia"/>
          <w:lang w:val="en-US" w:eastAsia="zh-CN"/>
        </w:rPr>
        <w:t>≥0</w:t>
      </w:r>
    </w:p>
    <w:p w14:paraId="2A62C168">
      <w:pPr>
        <w:pStyle w:val="12"/>
        <w:numPr>
          <w:ilvl w:val="0"/>
          <w:numId w:val="7"/>
        </w:numPr>
        <w:snapToGrid w:val="0"/>
        <w:spacing w:line="240" w:lineRule="auto"/>
      </w:pPr>
      <w:r>
        <w:t>人均日成本：</w:t>
      </w:r>
    </w:p>
    <w:p w14:paraId="3563DFDF">
      <w:pPr>
        <w:pStyle w:val="12"/>
        <w:snapToGrid w:val="0"/>
        <w:spacing w:line="240" w:lineRule="auto"/>
        <w:ind w:left="480" w:firstLine="480"/>
      </w:pPr>
      <w:r>
        <w:t xml:space="preserve">[（总支出 - 劳务费 - 城际交通费）/ </w:t>
      </w:r>
      <w:r>
        <w:rPr>
          <w:rFonts w:hint="eastAsia"/>
        </w:rPr>
        <w:t>参会</w:t>
      </w:r>
      <w:r>
        <w:t>注册人数 / 会期天数]</w:t>
      </w:r>
    </w:p>
    <w:p w14:paraId="6168626D">
      <w:pPr>
        <w:pStyle w:val="12"/>
        <w:snapToGrid w:val="0"/>
        <w:spacing w:line="240" w:lineRule="auto"/>
        <w:ind w:firstLine="480"/>
      </w:pPr>
      <w:r>
        <w:rPr>
          <w:rFonts w:hint="eastAsia"/>
        </w:rPr>
        <w:t>参考附件：</w:t>
      </w:r>
    </w:p>
    <w:p w14:paraId="35C32D87">
      <w:pPr>
        <w:snapToGrid w:val="0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附件1：</w:t>
      </w:r>
      <w:r>
        <w:rPr>
          <w:rFonts w:ascii="Times New Roman" w:hAnsi="Times New Roman" w:eastAsia="宋体" w:cs="Times New Roman"/>
          <w:sz w:val="24"/>
        </w:rPr>
        <w:t>中央和国家机关工作人员赴地方差旅住宿费标准明细表</w:t>
      </w:r>
      <w:r>
        <w:rPr>
          <w:rFonts w:hint="eastAsia" w:ascii="Times New Roman" w:hAnsi="Times New Roman" w:eastAsia="宋体" w:cs="Times New Roman"/>
          <w:b/>
          <w:bCs/>
          <w:sz w:val="24"/>
        </w:rPr>
        <w:t xml:space="preserve"> 财行【2016】71号</w:t>
      </w:r>
      <w:r>
        <w:rPr>
          <w:rFonts w:hint="eastAsia" w:ascii="Times New Roman" w:hAnsi="Times New Roman" w:eastAsia="宋体" w:cs="Times New Roman"/>
          <w:sz w:val="24"/>
        </w:rPr>
        <w:t xml:space="preserve">  </w:t>
      </w:r>
    </w:p>
    <w:p w14:paraId="39257FCC">
      <w:pPr>
        <w:pStyle w:val="12"/>
        <w:snapToGrid w:val="0"/>
        <w:spacing w:line="240" w:lineRule="auto"/>
        <w:ind w:firstLine="480"/>
      </w:pPr>
      <w:r>
        <w:rPr>
          <w:rFonts w:hint="eastAsia"/>
        </w:rPr>
        <w:t>附件2：学术活动专家费用标准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B955E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0C8A4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0C8A4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2EE4F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16015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A7858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E552A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0029F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678D1"/>
    <w:multiLevelType w:val="singleLevel"/>
    <w:tmpl w:val="854678D1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9704EEB8"/>
    <w:multiLevelType w:val="singleLevel"/>
    <w:tmpl w:val="9704EEB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CE60BA45"/>
    <w:multiLevelType w:val="singleLevel"/>
    <w:tmpl w:val="CE60BA4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D9398233"/>
    <w:multiLevelType w:val="singleLevel"/>
    <w:tmpl w:val="D939823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02619C10"/>
    <w:multiLevelType w:val="singleLevel"/>
    <w:tmpl w:val="02619C1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0491E3B5"/>
    <w:multiLevelType w:val="singleLevel"/>
    <w:tmpl w:val="0491E3B5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6">
    <w:nsid w:val="61E8400B"/>
    <w:multiLevelType w:val="multilevel"/>
    <w:tmpl w:val="61E8400B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30EEC"/>
    <w:rsid w:val="00020DF6"/>
    <w:rsid w:val="00061DD7"/>
    <w:rsid w:val="001C43EF"/>
    <w:rsid w:val="0041138A"/>
    <w:rsid w:val="005667FE"/>
    <w:rsid w:val="005E2B84"/>
    <w:rsid w:val="00610BF9"/>
    <w:rsid w:val="00614AC3"/>
    <w:rsid w:val="0081134A"/>
    <w:rsid w:val="00836304"/>
    <w:rsid w:val="00840387"/>
    <w:rsid w:val="008D0896"/>
    <w:rsid w:val="009A721B"/>
    <w:rsid w:val="00A770A4"/>
    <w:rsid w:val="00B113E3"/>
    <w:rsid w:val="00B1736B"/>
    <w:rsid w:val="00B94AE0"/>
    <w:rsid w:val="00BA78CC"/>
    <w:rsid w:val="00D906B2"/>
    <w:rsid w:val="00E666C7"/>
    <w:rsid w:val="00F06A47"/>
    <w:rsid w:val="05D979BB"/>
    <w:rsid w:val="1D56283E"/>
    <w:rsid w:val="226731F5"/>
    <w:rsid w:val="22FD5680"/>
    <w:rsid w:val="2A524117"/>
    <w:rsid w:val="2F3C6981"/>
    <w:rsid w:val="32005B1D"/>
    <w:rsid w:val="3D255ECD"/>
    <w:rsid w:val="3E455445"/>
    <w:rsid w:val="42734FE4"/>
    <w:rsid w:val="43F2588A"/>
    <w:rsid w:val="4682613E"/>
    <w:rsid w:val="4EFE3BCA"/>
    <w:rsid w:val="589F2B38"/>
    <w:rsid w:val="66930EEC"/>
    <w:rsid w:val="6D1C7268"/>
    <w:rsid w:val="6EC33FC9"/>
    <w:rsid w:val="74C23A26"/>
    <w:rsid w:val="75A629FF"/>
    <w:rsid w:val="7B4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9">
    <w:name w:val="font8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2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51"/>
    <w:basedOn w:val="18"/>
    <w:qFormat/>
    <w:uiPriority w:val="0"/>
    <w:rPr>
      <w:rFonts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22">
    <w:name w:val="font31"/>
    <w:basedOn w:val="18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23">
    <w:name w:val="font61"/>
    <w:basedOn w:val="18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4">
    <w:name w:val="font7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41"/>
    <w:basedOn w:val="18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2661</Words>
  <Characters>3496</Characters>
  <Lines>37</Lines>
  <Paragraphs>10</Paragraphs>
  <TotalTime>0</TotalTime>
  <ScaleCrop>false</ScaleCrop>
  <LinksUpToDate>false</LinksUpToDate>
  <CharactersWithSpaces>3612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2025-02-25T06:10:00Z</dcterms:created>
  <dc:creator>婷</dc:creator>
  <cp:lastModifiedBy>婷</cp:lastModifiedBy>
  <dcterms:modified xsi:type="dcterms:W3CDTF">2025-03-11T05:04:29Z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BB82670264B348E09231372C2B630F13_13</vt:lpwstr>
  </property>
  <property fmtid="{D5CDD505-2E9C-101B-9397-08002B2CF9AE}" pid="4" name="KSOTemplateDocerSaveRecord">
    <vt:lpwstr>eyJoZGlkIjoiOTAyYTlhOTllYjY1MWZlZDNjOGRjYTNhMzNkNzI4MjIiLCJ1c2VySWQiOiIzMDgxMzI1OTQifQ==</vt:lpwstr>
  </property>
</Properties>
</file>